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0" w:name="sub_48"/>
      <w:r w:rsidRPr="001E19FD">
        <w:rPr>
          <w:rFonts w:ascii="PT Astra Serif" w:hAnsi="PT Astra Serif"/>
          <w:color w:val="auto"/>
          <w:sz w:val="20"/>
          <w:szCs w:val="20"/>
        </w:rPr>
        <w:t>VII. Нормативы финансовых затрат на единицу объема медицинской помощи, подушевые нормативы финансирования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" w:name="sub_49"/>
      <w:r w:rsidRPr="001E19FD">
        <w:rPr>
          <w:rFonts w:ascii="PT Astra Serif" w:hAnsi="PT Astra Serif"/>
          <w:sz w:val="20"/>
          <w:szCs w:val="20"/>
        </w:rPr>
        <w:t xml:space="preserve">37. Нормативы объема оказания и нормативы финансовых затрат на единицу объема медицинской помощи, оказываемой в соответствии с Программой, на 2024-2026 годы на единицу объема за счет средств обязательного медицинского страхования и средств областного бюджета на 2024-2026 годы установлены </w:t>
      </w:r>
      <w:hyperlink w:anchor="sub_133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приложением N 11</w:t>
        </w:r>
      </w:hyperlink>
      <w:r w:rsidRPr="001E19FD">
        <w:rPr>
          <w:rFonts w:ascii="PT Astra Serif" w:hAnsi="PT Astra Serif"/>
          <w:sz w:val="20"/>
          <w:szCs w:val="20"/>
        </w:rPr>
        <w:t xml:space="preserve"> к настоящей Программе.</w:t>
      </w:r>
    </w:p>
    <w:bookmarkEnd w:id="1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 учетом коэффициента дифференциации на 2024 год составляет: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фельдшерский, фельдшерско-акушерский пункт, обслуживающий до 100 жителей, - 846,0 тыс. рублей;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для фельдшерского здравпункта или фельдшерско-акушерского пункта, обслуживающего от 101 до 900 жителей, - 1 691,9 тыс. рублей;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для фельдшерского здравпункта или фельдшерско-акушерского пункта, обслуживающего от 901 до 1500 жителей, - 3 383,7 тыс. рублей;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для фельдшерского здравпункта или фельдшерско-акушерского пункта, обслуживающего от 1501 до 2000 жителей, - 3 997,3 тыс. рублей;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фельдшерский, фельдшерско-акушерский пункт, обслуживающий свыше 2000 жителей, - 5 196,4 тыс. рублей.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расчете подушевого норматива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малекулярно-генетических и патологоанатомических исследований биопсийного (операционного) материала, тестирование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включая диспансерное наблюдение работающих граждан, и финансовое обеспечение фельдшерских здравпунктов,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помощи, а также подушевого норматива финансирования на прикрепившихся к медицинской организации лиц, включая оплату по всем видам и условиям предоставляемой медицинской помощи, с учетом показателей результативности деятельности медицинской организации (включая показатели объема медицинской помощи) для медицинских организаций,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" w:name="sub_50"/>
      <w:r w:rsidRPr="001E19FD">
        <w:rPr>
          <w:rFonts w:ascii="PT Astra Serif" w:hAnsi="PT Astra Serif"/>
          <w:sz w:val="20"/>
          <w:szCs w:val="20"/>
        </w:rPr>
        <w:t>38. Подушевые нормативы финансирования, предусмотренные Программой (без учета расходов федерального бюджета), составляют:</w:t>
      </w:r>
    </w:p>
    <w:bookmarkEnd w:id="2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за счет средств областного бюджета (в расчете на 1 жителя) в 2024 году - 6 183,8 рубля, 2025 году - 6 068,8 рубля, 2026 году - 5 952,8 рубля;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за счет средств обязательного медицинского страхования на финансирование областной Программы обязательного медицинского страхования (в расчете на 1 застрахованное лицо) (за исключением федеральных медицинских организаций) в 2024 году - 25 167,5 рубля, 2025 году - 26 914,3 рубля, 2026 году - 28 721,2 рубля.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Подушевой норматив финансирования на оказание медицинской помощи по профилю "Медицинская реабилитация" (в расчете на одно застрахованное лицо) (за исключением федеральных медицинских организаций) в 2024 году - 534,2 рубля, в 2025 году - 565,1 рубля, в 2026 году - 596,4 рубля.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sectPr w:rsidR="00385433" w:rsidRPr="001E19FD" w:rsidSect="005B3C87">
      <w:headerReference w:type="default" r:id="rId7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93" w:rsidRDefault="00ED6C93">
      <w:r>
        <w:separator/>
      </w:r>
    </w:p>
  </w:endnote>
  <w:endnote w:type="continuationSeparator" w:id="1">
    <w:p w:rsidR="00ED6C93" w:rsidRDefault="00ED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93" w:rsidRDefault="00ED6C93">
      <w:r>
        <w:separator/>
      </w:r>
    </w:p>
  </w:footnote>
  <w:footnote w:type="continuationSeparator" w:id="1">
    <w:p w:rsidR="00ED6C93" w:rsidRDefault="00ED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F05D8"/>
    <w:rsid w:val="001E19FD"/>
    <w:rsid w:val="001F325B"/>
    <w:rsid w:val="001F5CA5"/>
    <w:rsid w:val="00217028"/>
    <w:rsid w:val="002B4AA1"/>
    <w:rsid w:val="002E57AE"/>
    <w:rsid w:val="002F6C1F"/>
    <w:rsid w:val="00385433"/>
    <w:rsid w:val="003A3B3A"/>
    <w:rsid w:val="00411388"/>
    <w:rsid w:val="00496C2F"/>
    <w:rsid w:val="005B3C87"/>
    <w:rsid w:val="0068678D"/>
    <w:rsid w:val="006E4478"/>
    <w:rsid w:val="00714688"/>
    <w:rsid w:val="007223BC"/>
    <w:rsid w:val="007543F5"/>
    <w:rsid w:val="00775B8C"/>
    <w:rsid w:val="00922874"/>
    <w:rsid w:val="0096180C"/>
    <w:rsid w:val="009F694F"/>
    <w:rsid w:val="00A15ED7"/>
    <w:rsid w:val="00A96071"/>
    <w:rsid w:val="00B47980"/>
    <w:rsid w:val="00B83E30"/>
    <w:rsid w:val="00E07CB6"/>
    <w:rsid w:val="00E47AEE"/>
    <w:rsid w:val="00E927D1"/>
    <w:rsid w:val="00EB634E"/>
    <w:rsid w:val="00ED6C93"/>
    <w:rsid w:val="00F34487"/>
    <w:rsid w:val="00F60FD3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3768</Characters>
  <Application>Microsoft Office Word</Application>
  <DocSecurity>0</DocSecurity>
  <Lines>31</Lines>
  <Paragraphs>8</Paragraphs>
  <ScaleCrop>false</ScaleCrop>
  <Company>НПП "Гарант-Сервис"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4</cp:revision>
  <dcterms:created xsi:type="dcterms:W3CDTF">2024-01-26T03:03:00Z</dcterms:created>
  <dcterms:modified xsi:type="dcterms:W3CDTF">2024-01-26T03:08:00Z</dcterms:modified>
</cp:coreProperties>
</file>